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Bold" w:eastAsia="Times New Roman" w:hAnsi="MyriadPro-Bold" w:cs="MyriadPro-Bold"/>
          <w:b/>
          <w:bCs/>
          <w:color w:val="365F91" w:themeColor="accent1" w:themeShade="BF"/>
          <w:sz w:val="28"/>
          <w:szCs w:val="28"/>
          <w:lang w:eastAsia="pl-PL"/>
        </w:rPr>
        <w:t>Temat: W przychodni lekarskiej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365F91" w:themeColor="accent1" w:themeShade="BF"/>
          <w:sz w:val="28"/>
          <w:szCs w:val="28"/>
          <w:lang w:eastAsia="pl-PL"/>
        </w:rPr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 xml:space="preserve"> „Wiosenny berek”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– zabawa ruchowa 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z rodzeństwem </w:t>
      </w:r>
      <w:r>
        <w:rPr>
          <w:rFonts w:ascii="MinionPro-Regular" w:eastAsia="Times New Roman" w:hAnsi="MinionPro-Regular" w:cs="MinionPro-Regular" w:hint="eastAsia"/>
          <w:color w:val="000000"/>
          <w:sz w:val="28"/>
          <w:szCs w:val="28"/>
          <w:lang w:eastAsia="pl-PL"/>
        </w:rPr>
        <w:t>lub rodzicami: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Wybieramy berka, posługując się znaną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wyliczanką: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Ene</w:t>
      </w:r>
      <w:proofErr w:type="spellEnd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, </w:t>
      </w:r>
      <w:proofErr w:type="spellStart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due</w:t>
      </w:r>
      <w:proofErr w:type="spellEnd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 xml:space="preserve">, </w:t>
      </w:r>
      <w:proofErr w:type="spellStart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rabe</w:t>
      </w:r>
      <w:proofErr w:type="spellEnd"/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,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połknął bocian żabę,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a później Chińczyka,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co z tego wynika?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Raz, dwa, trzy –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gonisz ty...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„Chore zęby (oczy, uszy) leczy…”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– kończenie zdań, odwołanie się do wiedzy i doświadczeń dzieci.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Podczas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rozmowy dzieci dzielą się swoimi doświadczeniami zdobytymi podczas wizyt u lekarza pediatry i wiedzą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na temat różnych specjalności lekarskich.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Następnie siadają na podłodze i po kolei kończą zdanie,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które jako pierwszy wypowiada dorosły: 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 </w:t>
      </w:r>
      <w:r w:rsidRPr="008C4541">
        <w:rPr>
          <w:rFonts w:ascii="MinionPro-It" w:eastAsia="Times New Roman" w:hAnsi="MinionPro-It" w:cs="MinionPro-It"/>
          <w:i/>
          <w:iCs/>
          <w:color w:val="365F91" w:themeColor="accent1" w:themeShade="BF"/>
          <w:sz w:val="28"/>
          <w:szCs w:val="28"/>
          <w:lang w:eastAsia="pl-PL"/>
        </w:rPr>
        <w:t xml:space="preserve">Dzisiaj boli mnie głowa 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Każde dziecko powtarza to, co powiedzieli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poprzednicy, i dodaje swoje zakończenie.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Jeśli jedno mówi: </w:t>
      </w:r>
      <w:r w:rsidRPr="008C4541">
        <w:rPr>
          <w:rFonts w:ascii="MinionPro-It" w:eastAsia="Times New Roman" w:hAnsi="MinionPro-It" w:cs="MinionPro-It"/>
          <w:i/>
          <w:iCs/>
          <w:color w:val="365F91" w:themeColor="accent1" w:themeShade="BF"/>
          <w:sz w:val="28"/>
          <w:szCs w:val="28"/>
          <w:lang w:eastAsia="pl-PL"/>
        </w:rPr>
        <w:t>Dzisiaj boli mnie głowa i ręka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, to następne powinno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powiedzieć</w:t>
      </w:r>
      <w:r w:rsidRPr="008C4541">
        <w:rPr>
          <w:rFonts w:ascii="MinionPro-Regular" w:eastAsia="Times New Roman" w:hAnsi="MinionPro-Regular" w:cs="MinionPro-Regular"/>
          <w:color w:val="365F91" w:themeColor="accent1" w:themeShade="BF"/>
          <w:sz w:val="28"/>
          <w:szCs w:val="28"/>
          <w:lang w:eastAsia="pl-PL"/>
        </w:rPr>
        <w:t xml:space="preserve">: </w:t>
      </w:r>
      <w:r w:rsidRPr="008C4541">
        <w:rPr>
          <w:rFonts w:ascii="MinionPro-It" w:eastAsia="Times New Roman" w:hAnsi="MinionPro-It" w:cs="MinionPro-It"/>
          <w:i/>
          <w:iCs/>
          <w:color w:val="365F91" w:themeColor="accent1" w:themeShade="BF"/>
          <w:sz w:val="28"/>
          <w:szCs w:val="28"/>
          <w:lang w:eastAsia="pl-PL"/>
        </w:rPr>
        <w:t>Dzisiaj boli mnie głowa, ręka i ucho</w:t>
      </w: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W celu urozmaicenia zabawy można kończyć zdanie, pokazując „obolałą” część ciała.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Bold" w:eastAsia="Times New Roman" w:hAnsi="MyriadPro-Bold" w:cs="MyriadPro-Bold"/>
          <w:b/>
          <w:bCs/>
          <w:color w:val="FFFFFF"/>
          <w:sz w:val="28"/>
          <w:szCs w:val="28"/>
          <w:lang w:eastAsia="pl-PL"/>
        </w:rPr>
        <w:t>Scenariusze zajęć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lastRenderedPageBreak/>
        <w:t xml:space="preserve">„Nic strasznego”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– wysłuchanie opowiadania z </w:t>
      </w:r>
      <w:r w:rsidRPr="008C4541"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>„Książki”,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rozmowa kierowana.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Po przeczytaniu opowiadania zadajemy pytania: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Dlaczego Kajtek poszedł z Gabrysią do lekarza?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Kiedy chodzimy do lekarza?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Jak wygląda gabinet lekarski? Co w nim się znajduje?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It" w:eastAsia="Times New Roman" w:hAnsi="MinionPro-It" w:cs="MinionPro-It"/>
          <w:i/>
          <w:iCs/>
          <w:color w:val="000000"/>
          <w:sz w:val="28"/>
          <w:szCs w:val="28"/>
          <w:lang w:eastAsia="pl-PL"/>
        </w:rPr>
        <w:t>– Jak należy się zachowywać u lekarza?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„Książka” s. 86–87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„Super</w:t>
      </w:r>
      <w:r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pamięć” –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zabawa doskonaląca pamięć wzrokową, wykonanie zadania na </w:t>
      </w:r>
      <w:r w:rsidRPr="008C4541"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>kartach pracy.</w:t>
      </w:r>
      <w:r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 xml:space="preserve">  </w:t>
      </w:r>
      <w:r>
        <w:rPr>
          <w:rFonts w:ascii="MinionPro-Regular" w:eastAsia="Times New Roman" w:hAnsi="MinionPro-Regular" w:cs="MinionPro-Regular" w:hint="eastAsia"/>
          <w:b/>
          <w:color w:val="000000"/>
          <w:sz w:val="28"/>
          <w:szCs w:val="28"/>
          <w:lang w:eastAsia="pl-PL"/>
        </w:rPr>
        <w:t>PDF</w:t>
      </w:r>
      <w:r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 xml:space="preserve"> </w:t>
      </w:r>
      <w:r>
        <w:rPr>
          <w:rFonts w:ascii="MinionPro-Regular" w:eastAsia="Times New Roman" w:hAnsi="MinionPro-Regular" w:cs="MinionPro-Regular" w:hint="eastAsia"/>
          <w:b/>
          <w:color w:val="000000"/>
          <w:sz w:val="28"/>
          <w:szCs w:val="28"/>
          <w:lang w:eastAsia="pl-PL"/>
        </w:rPr>
        <w:t>będzie</w:t>
      </w:r>
      <w:r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 xml:space="preserve"> w załączniku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Zabawa polega na odnajdywaniu identycznych obrazków i łączeniu ich w pary Rozkładamy karty z rysunkami przedstawiającymi różne przedmioty, również te, które możemy zobaczyć w przychodni (</w:t>
      </w:r>
      <w:proofErr w:type="spellStart"/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np</w:t>
      </w:r>
      <w:proofErr w:type="spellEnd"/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termometr, stetoskop, czepek pielęgniarski, biały fartuch lekarski).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Początkowo dzieci oglądają karty i szukają dwóch takich samych obrazków (par kart z identycznym obrazkiem powinno być więcej niż dzieci w grupie) Kiedy już oswoją się obrazkami, nauczyciel tasuje karty i rozkłada je tak, aby ilustracje były niewidoczne Dzieci po kolei odsłaniają po dwie karty Jeśli odkryją parę, zabierają ją i mogą odsłonić kolejne dwie karty. W przeciwnym razie zasłaniają znów karty, a kolejne dziecko odkrywa dwie inne w poszukiwaniu pary Wygrywa ten, kto zbierze najwięcej par obrazków.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Po zabawie dzieci wykonują zadania na </w:t>
      </w:r>
      <w:r w:rsidRPr="008C4541">
        <w:rPr>
          <w:rFonts w:ascii="MinionPro-Regular" w:eastAsia="Times New Roman" w:hAnsi="MinionPro-Regular" w:cs="MinionPro-Regular"/>
          <w:b/>
          <w:color w:val="000000"/>
          <w:sz w:val="28"/>
          <w:szCs w:val="28"/>
          <w:lang w:eastAsia="pl-PL"/>
        </w:rPr>
        <w:t>karcie pracy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– spośród zgromadzonych przedmiotów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wyszukują i kolorują te, które są potrzebne lekarzom w ich pracy 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Pary kart z identycznymi obrazkami, „Karty pracy” cz. 4, s. 3, kredki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lastRenderedPageBreak/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„Przychodzi chory do lekarza”</w:t>
      </w:r>
      <w:r w:rsidRPr="008C4541">
        <w:rPr>
          <w:rFonts w:ascii="MinionPro-Regular" w:eastAsia="Times New Roman" w:hAnsi="MinionPro-Regular" w:cs="MinionPro-Regular"/>
          <w:color w:val="365F91" w:themeColor="accent1" w:themeShade="BF"/>
          <w:sz w:val="28"/>
          <w:szCs w:val="28"/>
          <w:lang w:eastAsia="pl-PL"/>
        </w:rPr>
        <w:t xml:space="preserve"> –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zabawa tematyczna, organizowanie kącika lekarskiego, konstruowanie słuchawek lekarskich.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Dzieci z rodzicem wspólnie organizują kącik lekarski 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Przygotowują leżanki, konstruują słuchawki lekarskie, gromadzą różne przedmioty kojarzące się z pracą lekarza: opakowania po lekarstwach, termometr, strzykawki, bandaże.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Dzieci, odwołując się do własnych doświadczeń, bawią się w parach, przydzielając sobie role: lekarza, pacjenta, pielęgniarki.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Na koniec dzieci otrzymuj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ą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bandaż i z pomocą r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odzica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uczy się bandażowania ręki </w:t>
      </w:r>
      <w:r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lub nogi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Prześcieradło, opakowania po lekarstwach, termometr, strzykawki, bandaże, szpatułka, plastikowy przewód, guziki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b/>
          <w:color w:val="365F91" w:themeColor="accent1" w:themeShade="BF"/>
          <w:sz w:val="28"/>
          <w:szCs w:val="28"/>
          <w:lang w:eastAsia="pl-PL"/>
        </w:rPr>
        <w:t>„Kręgle”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– zabawa ruchowa, rozwijanie koordynacji wzrokowo-ruchowej.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 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Dzieci przygotowują kręgle – ozdabiają rolki po papierowych ręcznikach kuchennych</w:t>
      </w:r>
      <w:r w:rsidR="00B3778E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, lub butelki po wodzie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, oklejając je kolorowym papierem.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Stawiamy kręgle w kilku rzędach przy ścianie.</w:t>
      </w:r>
      <w:r w:rsidR="00B3778E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 </w:t>
      </w:r>
      <w:r w:rsidR="00B377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</w:t>
      </w: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 xml:space="preserve">toczą plastikową piłkę, starając się trafić w kręgle. Po każdym przetoczeniu piłki dzieci liczą, ile kręgli upadło. </w:t>
      </w:r>
    </w:p>
    <w:p w:rsidR="006F5764" w:rsidRPr="008C4541" w:rsidRDefault="006F5764" w:rsidP="006F5764">
      <w:pPr>
        <w:autoSpaceDE w:val="0"/>
        <w:autoSpaceDN w:val="0"/>
        <w:adjustRightInd w:val="0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MinionPro-Regular" w:eastAsia="Times New Roman" w:hAnsi="MinionPro-Regular" w:cs="MinionPro-Regular"/>
          <w:color w:val="000000"/>
          <w:sz w:val="28"/>
          <w:szCs w:val="28"/>
          <w:lang w:eastAsia="pl-PL"/>
        </w:rPr>
        <w:t>R</w:t>
      </w:r>
      <w:r w:rsidRPr="008C4541">
        <w:rPr>
          <w:rFonts w:ascii="MyriadPro-Semibold" w:eastAsia="Times New Roman" w:hAnsi="MyriadPro-Semibold" w:cs="MyriadPro-Semibold"/>
          <w:color w:val="000000"/>
          <w:sz w:val="28"/>
          <w:szCs w:val="28"/>
          <w:lang w:eastAsia="pl-PL"/>
        </w:rPr>
        <w:t>olki po papierowych ręcznikach kuchennych (przynajmniej 9), papier kolorowy, klej, plastikowa piłka.</w:t>
      </w:r>
    </w:p>
    <w:p w:rsidR="006F5764" w:rsidRPr="008C4541" w:rsidRDefault="006F5764" w:rsidP="006F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5764" w:rsidRPr="008C4541" w:rsidRDefault="006F5764" w:rsidP="006F5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454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F5764" w:rsidRPr="008C4541" w:rsidRDefault="006F5764" w:rsidP="006F5764">
      <w:pPr>
        <w:rPr>
          <w:szCs w:val="28"/>
        </w:rPr>
      </w:pPr>
    </w:p>
    <w:p w:rsidR="00CE37E4" w:rsidRDefault="00CE37E4"/>
    <w:sectPr w:rsidR="00CE37E4" w:rsidSect="004B5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764"/>
    <w:rsid w:val="006F5764"/>
    <w:rsid w:val="00B3778E"/>
    <w:rsid w:val="00CE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2021-04-12T17:31:00Z</dcterms:created>
  <dcterms:modified xsi:type="dcterms:W3CDTF">2021-04-12T17:43:00Z</dcterms:modified>
</cp:coreProperties>
</file>